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63AE" w:rsidRPr="00A063AE" w:rsidRDefault="00A063AE" w:rsidP="00A063AE">
      <w:pPr>
        <w:spacing w:before="100" w:beforeAutospacing="1" w:after="100" w:afterAutospacing="1" w:line="240" w:lineRule="auto"/>
        <w:outlineLvl w:val="0"/>
        <w:rPr>
          <w:rFonts w:eastAsia="Times New Roman" w:cstheme="minorHAnsi"/>
          <w:b/>
          <w:bCs/>
          <w:kern w:val="36"/>
          <w:lang w:eastAsia="tr-TR"/>
        </w:rPr>
      </w:pPr>
      <w:r w:rsidRPr="00A063AE">
        <w:rPr>
          <w:rFonts w:eastAsia="Times New Roman" w:cstheme="minorHAnsi"/>
          <w:b/>
          <w:bCs/>
          <w:kern w:val="36"/>
          <w:lang w:eastAsia="tr-TR"/>
        </w:rPr>
        <w:t>WIPO Telif Hakları Anlaşması</w:t>
      </w:r>
    </w:p>
    <w:p w:rsidR="00A063AE" w:rsidRPr="00A063AE" w:rsidRDefault="00A063AE" w:rsidP="00A0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A063AE">
        <w:rPr>
          <w:rFonts w:eastAsia="Times New Roman" w:cstheme="minorHAnsi"/>
          <w:lang w:eastAsia="tr-TR"/>
        </w:rPr>
        <w:t xml:space="preserve">20.12.1996 tarihli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Türkiye sonradan katılmıştır.</w:t>
      </w:r>
    </w:p>
    <w:p w:rsidR="00A063AE" w:rsidRPr="00A063AE" w:rsidRDefault="00A063AE" w:rsidP="00A0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A063AE">
        <w:rPr>
          <w:rFonts w:eastAsia="Times New Roman" w:cstheme="minorHAnsi"/>
          <w:lang w:eastAsia="tr-TR"/>
        </w:rPr>
        <w:t>-    Kabul Tarihi: 2.5.2007.</w:t>
      </w:r>
    </w:p>
    <w:p w:rsidR="00A063AE" w:rsidRPr="00A063AE" w:rsidRDefault="00A063AE" w:rsidP="00A0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A063AE">
        <w:rPr>
          <w:rFonts w:eastAsia="Times New Roman" w:cstheme="minorHAnsi"/>
          <w:lang w:eastAsia="tr-TR"/>
        </w:rPr>
        <w:t xml:space="preserve">-    Kabul Kanunu No: 5647 (RG, 8.5.2007, S. 26516). </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GİRİŞ</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Âkit Taraflar,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Edebiyat ve sanat eserleri sahiplerinin haklarının mümkün olduğunca etkili ve aynı tarzda korunmasını devam ettirmeyi ve geliştirmeyi isteyerek,</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Yeni uluslararası kuralların sunulması ve yeni ekonomik, toplumsal, kültürel ve teknolojik gelişmelerin oluşturduğu sorulara yeterli çözümlerin sağlanması amacıyla mevcut belirli kuralların yorumlarına açıklık getirilmesi ihtiyacını bilerek,</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Edebiyat ve sanat eserlerinin yaratılması ve kullanımına ilişkin bilgi ve iletişim teknolojilerinin gelişim ve birleşiminin güçlü etkisini bilerek,</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Edebiyat ve sanat alanındaki yaratıcılığın özendirilmesinde telif haklarının korunmasının ehemmiyetini vurgulayarak,</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Bern Sözleşmesinde yansıtıldığı üzere, eser sahiplerinin hakları ile daha büyük kamu çıkarları arasında, özellikle eğitim, araştırma ve bilgiye erişim konularında, dengenin sürdürülmesi ihtiyacını bilerek,</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Aşağıdaki hususlar üzerinde anlaşmışlardır.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Bern sözleşmesi ile ilişki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(1)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Edebiyat ve Sanat Eserlerinin Korunmasına Dair Bern Sözleşmesince oluşturulan Birliğin üyesi olan Âkit Taraflar bakımından, anılan Sözleşmenin 20’nci maddesi anlamında özel bir </w:t>
      </w:r>
      <w:proofErr w:type="spellStart"/>
      <w:r w:rsidRPr="00A063AE">
        <w:rPr>
          <w:rFonts w:eastAsia="Times New Roman" w:cstheme="minorHAnsi"/>
          <w:lang w:eastAsia="tr-TR"/>
        </w:rPr>
        <w:t>andlaşmadır</w:t>
      </w:r>
      <w:proofErr w:type="spellEnd"/>
      <w:r w:rsidRPr="00A063AE">
        <w:rPr>
          <w:rFonts w:eastAsia="Times New Roman" w:cstheme="minorHAnsi"/>
          <w:lang w:eastAsia="tr-TR"/>
        </w:rPr>
        <w:t xml:space="preserve">.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Bern Sözleşmesi dışındaki </w:t>
      </w:r>
      <w:proofErr w:type="spellStart"/>
      <w:r w:rsidRPr="00A063AE">
        <w:rPr>
          <w:rFonts w:eastAsia="Times New Roman" w:cstheme="minorHAnsi"/>
          <w:lang w:eastAsia="tr-TR"/>
        </w:rPr>
        <w:t>andlaşmalarla</w:t>
      </w:r>
      <w:proofErr w:type="spellEnd"/>
      <w:r w:rsidRPr="00A063AE">
        <w:rPr>
          <w:rFonts w:eastAsia="Times New Roman" w:cstheme="minorHAnsi"/>
          <w:lang w:eastAsia="tr-TR"/>
        </w:rPr>
        <w:t xml:space="preserve"> hiçbir şekilde bağlantı olmayacaktır ve diğer </w:t>
      </w:r>
      <w:proofErr w:type="spellStart"/>
      <w:r w:rsidRPr="00A063AE">
        <w:rPr>
          <w:rFonts w:eastAsia="Times New Roman" w:cstheme="minorHAnsi"/>
          <w:lang w:eastAsia="tr-TR"/>
        </w:rPr>
        <w:t>andlaşmalarda</w:t>
      </w:r>
      <w:proofErr w:type="spellEnd"/>
      <w:r w:rsidRPr="00A063AE">
        <w:rPr>
          <w:rFonts w:eastAsia="Times New Roman" w:cstheme="minorHAnsi"/>
          <w:lang w:eastAsia="tr-TR"/>
        </w:rPr>
        <w:t xml:space="preserve"> düzenlenen haklar ve yükümlülüklere halel getirmeyecektir.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(2) Bu </w:t>
      </w:r>
      <w:proofErr w:type="spellStart"/>
      <w:r w:rsidRPr="00A063AE">
        <w:rPr>
          <w:rFonts w:eastAsia="Times New Roman" w:cstheme="minorHAnsi"/>
          <w:lang w:eastAsia="tr-TR"/>
        </w:rPr>
        <w:t>Andlaşmadaki</w:t>
      </w:r>
      <w:proofErr w:type="spellEnd"/>
      <w:r w:rsidRPr="00A063AE">
        <w:rPr>
          <w:rFonts w:eastAsia="Times New Roman" w:cstheme="minorHAnsi"/>
          <w:lang w:eastAsia="tr-TR"/>
        </w:rPr>
        <w:t xml:space="preserve"> hiçbir hüküm, Âkit Tarafların, Edebiyat ve Sanat Eserlerinin korunmasına ilişkin Bern Sözleşmesi altında birbirine karşı mevcut olan yükümlülüklerini ortadan kaldırmamaktadır.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(3) Burada “Bern Sözleşmesi” ifadesi ile Edebiyat ve Sanat Eserlerinin Korunmasına ilişkin Bern Sözleşmesi’nin 24 Temmuz 1971 tarihli Paris Metni ifade edilmektedir.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(4) Âkit Taraflar, Bern Sözleşmesi’nin 1 ila 21’inci maddeleri ile </w:t>
      </w:r>
      <w:proofErr w:type="spellStart"/>
      <w:r w:rsidRPr="00A063AE">
        <w:rPr>
          <w:rFonts w:eastAsia="Times New Roman" w:cstheme="minorHAnsi"/>
          <w:lang w:eastAsia="tr-TR"/>
        </w:rPr>
        <w:t>Ek’de</w:t>
      </w:r>
      <w:proofErr w:type="spellEnd"/>
      <w:r w:rsidRPr="00A063AE">
        <w:rPr>
          <w:rFonts w:eastAsia="Times New Roman" w:cstheme="minorHAnsi"/>
          <w:lang w:eastAsia="tr-TR"/>
        </w:rPr>
        <w:t xml:space="preserve"> öngörülen hükümlere uyacaklardır.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2</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Telif hakları koruma kapsamı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lastRenderedPageBreak/>
        <w:t>Telif hakkının korunması, düşünceleri, yöntemleri, uygulama esaslarını ya da matematiksel kavramları değil, ifadeleri kapsar.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3</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 xml:space="preserve">Bern </w:t>
      </w:r>
      <w:proofErr w:type="spellStart"/>
      <w:r w:rsidRPr="00A063AE">
        <w:rPr>
          <w:rFonts w:eastAsia="Times New Roman" w:cstheme="minorHAnsi"/>
          <w:b/>
          <w:bCs/>
          <w:lang w:eastAsia="tr-TR"/>
        </w:rPr>
        <w:t>sözleşmesi’nin</w:t>
      </w:r>
      <w:proofErr w:type="spellEnd"/>
      <w:r w:rsidRPr="00A063AE">
        <w:rPr>
          <w:rFonts w:eastAsia="Times New Roman" w:cstheme="minorHAnsi"/>
          <w:b/>
          <w:bCs/>
          <w:lang w:eastAsia="tr-TR"/>
        </w:rPr>
        <w:t xml:space="preserve"> 2 ila 6’ncı maddelerinin uygulanması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Âkit Taraflar, gereken şekilde,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ile öngörülen korumayı sağlamak üzere, Bern Sözleşmesinin 2 ila </w:t>
      </w:r>
      <w:proofErr w:type="gramStart"/>
      <w:r w:rsidRPr="00A063AE">
        <w:rPr>
          <w:rFonts w:eastAsia="Times New Roman" w:cstheme="minorHAnsi"/>
          <w:lang w:eastAsia="tr-TR"/>
        </w:rPr>
        <w:t>6ncı</w:t>
      </w:r>
      <w:proofErr w:type="gramEnd"/>
      <w:r w:rsidRPr="00A063AE">
        <w:rPr>
          <w:rFonts w:eastAsia="Times New Roman" w:cstheme="minorHAnsi"/>
          <w:lang w:eastAsia="tr-TR"/>
        </w:rPr>
        <w:t xml:space="preserve"> madde hükümlerini uygulayacaklardır.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4</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Bilgisayar programları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Bilgisayar programları, Bern Sözleşmesi’nin 2’nci maddesi anlamında edebiyat eseri olarak korunur. Öngörülen koruma, hangi koşul ya da biçimle ifade edilirse edilsin bilgisayar programlarına uygulanacaktır.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5</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Veri derleme (veri tabanı)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Hangi biçimde olursa olsun, içeriğinin seçimi ya da düzenlenmesi fikri bir yaratıcılık içeren veri ya da diğer öğelerin derlenmesi, yaratıcı düşünce olarak korunur. Bu koruma, derleme içindeki veri ya da materyaller </w:t>
      </w:r>
      <w:proofErr w:type="gramStart"/>
      <w:r w:rsidRPr="00A063AE">
        <w:rPr>
          <w:rFonts w:eastAsia="Times New Roman" w:cstheme="minorHAnsi"/>
          <w:lang w:eastAsia="tr-TR"/>
        </w:rPr>
        <w:t>üzerindeki mevcut</w:t>
      </w:r>
      <w:proofErr w:type="gramEnd"/>
      <w:r w:rsidRPr="00A063AE">
        <w:rPr>
          <w:rFonts w:eastAsia="Times New Roman" w:cstheme="minorHAnsi"/>
          <w:lang w:eastAsia="tr-TR"/>
        </w:rPr>
        <w:t xml:space="preserve"> telif haklarına halel getirmeyecektir ve veri ya da materyaller için genişletilmeyecektir.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6</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Yayma hakkı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(1) Edebiyat ve sanat eserlerinin sahipleri, eserlerinin özgün nüshaları ya da kopyalarının satılması ya da sahipliğinin el değiştirmesi yoluyla topluma sunulmasına izin verme hususunda münhasıran hak sahibidir.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(2) Bu </w:t>
      </w:r>
      <w:proofErr w:type="spellStart"/>
      <w:r w:rsidRPr="00A063AE">
        <w:rPr>
          <w:rFonts w:eastAsia="Times New Roman" w:cstheme="minorHAnsi"/>
          <w:lang w:eastAsia="tr-TR"/>
        </w:rPr>
        <w:t>Andlaşmadaki</w:t>
      </w:r>
      <w:proofErr w:type="spellEnd"/>
      <w:r w:rsidRPr="00A063AE">
        <w:rPr>
          <w:rFonts w:eastAsia="Times New Roman" w:cstheme="minorHAnsi"/>
          <w:lang w:eastAsia="tr-TR"/>
        </w:rPr>
        <w:t xml:space="preserve"> hiçbir hüküm, Âkit Tarafların (1)’inci paragrafta öngörülen eser sahibinin izni ile eserin özgün nüshası ya da kopyası üzerindeki sahipliğin, ilk satışı ya da el değiştirmesinden sonra, son bulması koşullarını düzenleme yetkisini etkilemeyecektir.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7</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Kiralama hakkı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(1) (i) Bilgisayar programlarının,</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(ii) Sinema eserlerinin ve</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(iii) Âkit Tarafların ulusal yasalarında tanımlandığı şekliyle </w:t>
      </w:r>
      <w:proofErr w:type="spellStart"/>
      <w:r w:rsidRPr="00A063AE">
        <w:rPr>
          <w:rFonts w:eastAsia="Times New Roman" w:cstheme="minorHAnsi"/>
          <w:lang w:eastAsia="tr-TR"/>
        </w:rPr>
        <w:t>fonogramlara</w:t>
      </w:r>
      <w:proofErr w:type="spellEnd"/>
      <w:r w:rsidRPr="00A063AE">
        <w:rPr>
          <w:rFonts w:eastAsia="Times New Roman" w:cstheme="minorHAnsi"/>
          <w:lang w:eastAsia="tr-TR"/>
        </w:rPr>
        <w:t xml:space="preserve"> tespit edilmiş</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gramStart"/>
      <w:r w:rsidRPr="00A063AE">
        <w:rPr>
          <w:rFonts w:eastAsia="Times New Roman" w:cstheme="minorHAnsi"/>
          <w:lang w:eastAsia="tr-TR"/>
        </w:rPr>
        <w:t>eserlerin</w:t>
      </w:r>
      <w:proofErr w:type="gramEnd"/>
      <w:r w:rsidRPr="00A063AE">
        <w:rPr>
          <w:rFonts w:eastAsia="Times New Roman" w:cstheme="minorHAnsi"/>
          <w:lang w:eastAsia="tr-TR"/>
        </w:rPr>
        <w:t>, sahipleri, eserlerinin özgün nüshaları ya da kopyalarının toplumda ticari nitelikte kamuya kiralanmasına izin verme hususunda münhasıran hak sahibidir.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lastRenderedPageBreak/>
        <w:t>(2) Aşağıdaki hallerde;</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(i) Bilgisayar programları ile ilgili olarak, programın kendisi kiralamanın ana unsurunu oluşturmadığında ve</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(ii) Sinema eserleri ile ilgili olarak, bu gibi ticari kiralama ile eserler üzerindeki münhasır çoğaltma hakkına maddi şekilde zarar vermeyen geniş miktarda kopyalanmasına yol açmadığında,</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(1)’inci paragraf uygulanmaz.</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(3) (1)’inci paragraf hükümlerine rağmen, 15 Nisan 1994 tarihinde, </w:t>
      </w:r>
      <w:proofErr w:type="spellStart"/>
      <w:r w:rsidRPr="00A063AE">
        <w:rPr>
          <w:rFonts w:eastAsia="Times New Roman" w:cstheme="minorHAnsi"/>
          <w:lang w:eastAsia="tr-TR"/>
        </w:rPr>
        <w:t>fonogramların</w:t>
      </w:r>
      <w:proofErr w:type="spellEnd"/>
      <w:r w:rsidRPr="00A063AE">
        <w:rPr>
          <w:rFonts w:eastAsia="Times New Roman" w:cstheme="minorHAnsi"/>
          <w:lang w:eastAsia="tr-TR"/>
        </w:rPr>
        <w:t xml:space="preserve"> içerdiği eserlerin kopyalarının kiralanması karşılığında eser sahiplerine hakkaniyetli bir ücret sistemi uygulayan ve uygulamakta olan Âkit bir taraf, </w:t>
      </w:r>
      <w:proofErr w:type="spellStart"/>
      <w:r w:rsidRPr="00A063AE">
        <w:rPr>
          <w:rFonts w:eastAsia="Times New Roman" w:cstheme="minorHAnsi"/>
          <w:lang w:eastAsia="tr-TR"/>
        </w:rPr>
        <w:t>fonogramların</w:t>
      </w:r>
      <w:proofErr w:type="spellEnd"/>
      <w:r w:rsidRPr="00A063AE">
        <w:rPr>
          <w:rFonts w:eastAsia="Times New Roman" w:cstheme="minorHAnsi"/>
          <w:lang w:eastAsia="tr-TR"/>
        </w:rPr>
        <w:t xml:space="preserve"> içerdiği eserlerin ticari olarak kiralanması, eser sahiplerinin münhasır çoğaltma hakkına maddi şekilde zarar vermedikçe, bu sistemi muhafaza edebilir.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8</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Kamuya iletim hakkı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Bern Sözleşmesi’nin 11 (1) (ii), 11 Mükerrer (1) (i) ve (ii), 11 ikinci mükerrer (1) (ii) ve 14 (1) (ii) ve 14 mükerrer (1) maddeleri, hükümleri haleldar edilmeksizin, edebiyat ve sanat eserleri sahipleri, eserlerinin telli ya da telsiz ortamda, toplum üyelerinin kendileri tarafından seçilen bir yer ve zamanda bu eserlerden kişisel olarak yararlanacak biçimde topluma iletilmesine izin verme hususunda münhasıran hak sahibidir.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9</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Fotoğrafik</w:t>
      </w:r>
      <w:proofErr w:type="spellEnd"/>
      <w:r w:rsidRPr="00A063AE">
        <w:rPr>
          <w:rFonts w:eastAsia="Times New Roman" w:cstheme="minorHAnsi"/>
          <w:b/>
          <w:bCs/>
          <w:lang w:eastAsia="tr-TR"/>
        </w:rPr>
        <w:t xml:space="preserve"> eserlerin koruma süresi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Âkit Taraflar, fotoğraf eserleri ile ilgili olarak, Bern Sözleşmesinin 7 (4) maddesi hükümlerini uygulamayacaklardır.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10</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Sınırlamalar ve istisnalar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(1) Akit Taraflar, ulusal mevzuatlarında,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ile edebiyat ve sanat eserleri sahiplerine tanınan haklarda, eserin olağan kullanımını engellemeyecek ve eser sahibinin meşru haklarına zarar vermeyecek bazı özel durumlarda, sınırlamalar ya da istisnalar sağlayabilir.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(2) Akit Taraflar, Bern Sözleşmesini uyguladıkları sırada, eserin olağan kullanımını engellemeyecek ve eser sahibinin meşru yararlarına zarar vermeyecek bazı özel durumlar için haklara getirilen sınırlamalar ya da istisnalar öngörebilir.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11</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Teknolojik tedbirlere ilişkin yükümlülükler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Akit Taraflar, ilgili eser sahiplerine yetki veya kanunla izin verilmeyen fiillerin gerçekleştirilmesini kısıtlayan ve bu Anlaşma ve Bern Sözleşmesi ile kendilerine tanınan haklar çerçevesinde eser </w:t>
      </w:r>
      <w:r w:rsidRPr="00A063AE">
        <w:rPr>
          <w:rFonts w:eastAsia="Times New Roman" w:cstheme="minorHAnsi"/>
          <w:lang w:eastAsia="tr-TR"/>
        </w:rPr>
        <w:lastRenderedPageBreak/>
        <w:t>sahiplerince kullanılan etkin teknolojik yöntemlerin etkisiz hale getirilmesine karşı uygun yasal koruma ve etkin yasal yaptırımlar öngöreceklerdir.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12</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Hak yönetim bilgilerine ilişkin yükümlülükler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(1) Akit Taraflar,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veya Bern Sözleşmesi ile öngörülen herhangi bir hakkın ihlalinin mümkün kılındığını, kolaylaştırıldığını veya saklandığını düşündürecek geçerli sebeplerle aşağıdaki fiilleri bilerek işleyenlere karşı veya hukuki tedbirlere tabi olanlar için yeterli ve etkin yasal tedbirler öngöreceklerdir.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(i) Yetkisiz olarak elektronik hak yönetim bilgilerini değiştirmek ya da ortadan kaldırmak,</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(ii) Elektronik hak yönetim bilgilerinin izinsiz değiştirildiği ya da ortadan kaldırıldığı bilinen, eserleri veya eser nüshalarını yetkisiz olarak dağıtmak, dağıtmak üzere ithal etmek, radyo ve televizyonla yayınlamak ya da topluma iletmek,</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(2) Bu maddede geçen “Hak yönetim bilgisi” ifadesi, bilgi öğelerinden herhangi biri eser nüshası üzerinde olduğunda veya eserin topluma iletimine bağlı olarak görüldüğünde eser, eser sahibi, eser üzerindeki herhangi bir hakkın sahibi veya eserin kullanımına ilişkin süreler ve koşullar hakkındaki bilgiler ve bu bilgileri temsil eden tüm sayı ya da kodları tanımlayan bilgiler anlamına gelmektedir.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13</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Uygulama zamanı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Akit Taraflar,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ile öngörülen korumanın tamamı ile ilgili olarak Bern Sözleşmesinin 18’inci maddesi hükümlerini uygulayacaktır.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14</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Hakların uygulanmasına ilişkin hükümler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(1) Akit Taraflar, bu </w:t>
      </w:r>
      <w:proofErr w:type="spellStart"/>
      <w:r w:rsidRPr="00A063AE">
        <w:rPr>
          <w:rFonts w:eastAsia="Times New Roman" w:cstheme="minorHAnsi"/>
          <w:lang w:eastAsia="tr-TR"/>
        </w:rPr>
        <w:t>Andlaşmanın</w:t>
      </w:r>
      <w:proofErr w:type="spellEnd"/>
      <w:r w:rsidRPr="00A063AE">
        <w:rPr>
          <w:rFonts w:eastAsia="Times New Roman" w:cstheme="minorHAnsi"/>
          <w:lang w:eastAsia="tr-TR"/>
        </w:rPr>
        <w:t xml:space="preserve"> uygulanmasını sağlayacak gerekli önlemleri kendi hukuk sistemlerine uygun olarak almayı taahhüt ederler.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(2) Akit Taraflar,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ile öngörülen korumanın herhangi bir şekilde ihlaline karşı ihlalleri önleyecek ve gelecekte olabilecek ihlallerde caydırıcılık sağlayacak özgün tedbirler içeren etkin eylemlere imkân veren uygulama prosedürlerinin kendi kanunlarında bulunmasını sağlayacaklardır.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15</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Meclis</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(1) (a) Akit Taraflar bir Meclis kuracaklardır.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(b) Her Akit Taraf, yardımcı delegeler, danışmanlar ve uzmanların yardımcı olabileceği bir delege ile temsil edilecektir.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lastRenderedPageBreak/>
        <w:t>(c) Her temsilcinin harcaması, temsilcileri atayan Akit Tarafça karşılanacaktır. Meclis, Birleşmiş Milletler Genel Kurulunun yürürlükteki uygulamasına uygun olarak gelişmekte olan bir ülke olarak kabul edilen ya da pazar ekonomisine geçiş dönemi içinde bulunan Akit Tarafların temsilcilerinin katılmasını kolaylaştırmak amacıyla parasal yardımda bulunulmasını Dünya Fikri Mülkiyet Örgütünden (Bundan böyle WIPO olarak anılacaktır.) talep edebilir.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(2) (a) Meclis, bu </w:t>
      </w:r>
      <w:proofErr w:type="spellStart"/>
      <w:r w:rsidRPr="00A063AE">
        <w:rPr>
          <w:rFonts w:eastAsia="Times New Roman" w:cstheme="minorHAnsi"/>
          <w:lang w:eastAsia="tr-TR"/>
        </w:rPr>
        <w:t>Andlaşmanın</w:t>
      </w:r>
      <w:proofErr w:type="spellEnd"/>
      <w:r w:rsidRPr="00A063AE">
        <w:rPr>
          <w:rFonts w:eastAsia="Times New Roman" w:cstheme="minorHAnsi"/>
          <w:lang w:eastAsia="tr-TR"/>
        </w:rPr>
        <w:t xml:space="preserve"> sürekliliği ve gelişimi ile işlemesi ve uygulanmasına ilişkin hususlar üzerinde görev yapacaktır.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 Meclis,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bazı hükümetler arası kuruluşların katılımı ile ilgili olarak 17 (2) madde hükümleri ile kendisine verilen görevi yerine getirecektir.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(c) Meclis, bu </w:t>
      </w:r>
      <w:proofErr w:type="spellStart"/>
      <w:r w:rsidRPr="00A063AE">
        <w:rPr>
          <w:rFonts w:eastAsia="Times New Roman" w:cstheme="minorHAnsi"/>
          <w:lang w:eastAsia="tr-TR"/>
        </w:rPr>
        <w:t>Andlaşmanın</w:t>
      </w:r>
      <w:proofErr w:type="spellEnd"/>
      <w:r w:rsidRPr="00A063AE">
        <w:rPr>
          <w:rFonts w:eastAsia="Times New Roman" w:cstheme="minorHAnsi"/>
          <w:lang w:eastAsia="tr-TR"/>
        </w:rPr>
        <w:t xml:space="preserve"> gözden geçirilmesi amacıyla bir diplomatik konferans üzerinde karara varacak ve böyle bir konferansın hazırlanması için WIPO Genel Müdürüne gerekli talimatı verecektir.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(3) (a) Her Akit Taraf ülke bir oya sahip olacak ve oyu yalnızca kendi adına kullanacaktır.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 Hükümetler arası bir organizasyon niteliğine sahip her Akit Taraf,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taraf olan devletler sayısına eşit oy sayısı ile üyesi bulunan devletler adına oylamaya katılabilir. Bu gibi hükümetler arası kuruluşlar, üyesi olan devletler kendi oy haklarını kullanmak istediklerinde ya da tersi bir durumda oylamaya katılamazlar.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(4) Meclis, WIPO Genel Müdürünün çağrısı üzerine her iki yılda bir olağan toplantısını yapacaktır.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(5) Meclis, olağan toplantıların çağrı esasları, toplantı için gerekli çoğunluk miktarı ve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hükümlerine uygun olarak çeşitli konularda alınacak kararlar için çoğunluk miktarını belirleyen kendi çalışma esas ve yöntemlerini düzenleyecektir.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16</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Uluslararası büro</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lang w:eastAsia="tr-TR"/>
        </w:rPr>
        <w:t>WIPO’nun</w:t>
      </w:r>
      <w:proofErr w:type="spellEnd"/>
      <w:r w:rsidRPr="00A063AE">
        <w:rPr>
          <w:rFonts w:eastAsia="Times New Roman" w:cstheme="minorHAnsi"/>
          <w:lang w:eastAsia="tr-TR"/>
        </w:rPr>
        <w:t xml:space="preserve"> Uluslararası Bürosu,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ile ilgili idari görevleri yürütür.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17</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 xml:space="preserve">Bu </w:t>
      </w:r>
      <w:proofErr w:type="spellStart"/>
      <w:r w:rsidRPr="00A063AE">
        <w:rPr>
          <w:rFonts w:eastAsia="Times New Roman" w:cstheme="minorHAnsi"/>
          <w:b/>
          <w:bCs/>
          <w:lang w:eastAsia="tr-TR"/>
        </w:rPr>
        <w:t>andlaşmaya</w:t>
      </w:r>
      <w:proofErr w:type="spellEnd"/>
      <w:r w:rsidRPr="00A063AE">
        <w:rPr>
          <w:rFonts w:eastAsia="Times New Roman" w:cstheme="minorHAnsi"/>
          <w:b/>
          <w:bCs/>
          <w:lang w:eastAsia="tr-TR"/>
        </w:rPr>
        <w:t xml:space="preserve"> taraf olabilme ehliyeti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(1) WIPO üyesi her devlet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taraf olabilir.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(2) Meclis, bu </w:t>
      </w:r>
      <w:proofErr w:type="spellStart"/>
      <w:r w:rsidRPr="00A063AE">
        <w:rPr>
          <w:rFonts w:eastAsia="Times New Roman" w:cstheme="minorHAnsi"/>
          <w:lang w:eastAsia="tr-TR"/>
        </w:rPr>
        <w:t>Andlaşmada</w:t>
      </w:r>
      <w:proofErr w:type="spellEnd"/>
      <w:r w:rsidRPr="00A063AE">
        <w:rPr>
          <w:rFonts w:eastAsia="Times New Roman" w:cstheme="minorHAnsi"/>
          <w:lang w:eastAsia="tr-TR"/>
        </w:rPr>
        <w:t xml:space="preserve"> öngörülen hususlar ile ilgili olarak mevzuatının, üyesi bulunan bütün devletleri bağlayıcı bir mevzuatı olduğunu ve kendi iç prosedürüne uygun şekilde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taraf olma konusunda tamamen yetkilendirilmiş olduğunu bildiren hükümetler arası her kuruluşun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taraf olarak kabul edilmesini kararlaştırabilir.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(3) Bu </w:t>
      </w:r>
      <w:proofErr w:type="spellStart"/>
      <w:r w:rsidRPr="00A063AE">
        <w:rPr>
          <w:rFonts w:eastAsia="Times New Roman" w:cstheme="minorHAnsi"/>
          <w:lang w:eastAsia="tr-TR"/>
        </w:rPr>
        <w:t>Andlaşmayı</w:t>
      </w:r>
      <w:proofErr w:type="spellEnd"/>
      <w:r w:rsidRPr="00A063AE">
        <w:rPr>
          <w:rFonts w:eastAsia="Times New Roman" w:cstheme="minorHAnsi"/>
          <w:lang w:eastAsia="tr-TR"/>
        </w:rPr>
        <w:t xml:space="preserve"> onaylayan Diplomatik Konferans sırasında önceki bentte belirtildiği gibi bildirimde bulunan Avrupa Topluluğu,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taraf olabilir.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18</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Andlaşmaya</w:t>
      </w:r>
      <w:proofErr w:type="spellEnd"/>
      <w:r w:rsidRPr="00A063AE">
        <w:rPr>
          <w:rFonts w:eastAsia="Times New Roman" w:cstheme="minorHAnsi"/>
          <w:b/>
          <w:bCs/>
          <w:lang w:eastAsia="tr-TR"/>
        </w:rPr>
        <w:t xml:space="preserve"> göre haklar ve yükümlülükler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lastRenderedPageBreak/>
        <w:t xml:space="preserve">Bu </w:t>
      </w:r>
      <w:proofErr w:type="spellStart"/>
      <w:r w:rsidRPr="00A063AE">
        <w:rPr>
          <w:rFonts w:eastAsia="Times New Roman" w:cstheme="minorHAnsi"/>
          <w:lang w:eastAsia="tr-TR"/>
        </w:rPr>
        <w:t>Andlaşmada</w:t>
      </w:r>
      <w:proofErr w:type="spellEnd"/>
      <w:r w:rsidRPr="00A063AE">
        <w:rPr>
          <w:rFonts w:eastAsia="Times New Roman" w:cstheme="minorHAnsi"/>
          <w:lang w:eastAsia="tr-TR"/>
        </w:rPr>
        <w:t xml:space="preserve"> ifade edilen aksine hükümler dışında her Akit Taraf bu </w:t>
      </w:r>
      <w:proofErr w:type="spellStart"/>
      <w:r w:rsidRPr="00A063AE">
        <w:rPr>
          <w:rFonts w:eastAsia="Times New Roman" w:cstheme="minorHAnsi"/>
          <w:lang w:eastAsia="tr-TR"/>
        </w:rPr>
        <w:t>Andlaşmada</w:t>
      </w:r>
      <w:proofErr w:type="spellEnd"/>
      <w:r w:rsidRPr="00A063AE">
        <w:rPr>
          <w:rFonts w:eastAsia="Times New Roman" w:cstheme="minorHAnsi"/>
          <w:lang w:eastAsia="tr-TR"/>
        </w:rPr>
        <w:t xml:space="preserve"> öngörülen haklardan yararlanacak ve yükümlülükleri yerine getirecektir.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19</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Andlaşmanın</w:t>
      </w:r>
      <w:proofErr w:type="spellEnd"/>
      <w:r w:rsidRPr="00A063AE">
        <w:rPr>
          <w:rFonts w:eastAsia="Times New Roman" w:cstheme="minorHAnsi"/>
          <w:b/>
          <w:bCs/>
          <w:lang w:eastAsia="tr-TR"/>
        </w:rPr>
        <w:t xml:space="preserve"> imzalanması</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31 Aralık 1997 tarihine kadar WIPO ve Avrupa Topluluğu’na üye her devletin imzasına açık olacaktır.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20</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Andlaşmanın</w:t>
      </w:r>
      <w:proofErr w:type="spellEnd"/>
      <w:r w:rsidRPr="00A063AE">
        <w:rPr>
          <w:rFonts w:eastAsia="Times New Roman" w:cstheme="minorHAnsi"/>
          <w:b/>
          <w:bCs/>
          <w:lang w:eastAsia="tr-TR"/>
        </w:rPr>
        <w:t xml:space="preserve"> yürürlüğe girmesi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otuz devletin onama ya da katılma belgelerini WIPO Genel Müdürüne sundukları tarihi izleyen tarihten üç ay sonra yürürlüğe girecektir.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21</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Andlaşmaya</w:t>
      </w:r>
      <w:proofErr w:type="spellEnd"/>
      <w:r w:rsidRPr="00A063AE">
        <w:rPr>
          <w:rFonts w:eastAsia="Times New Roman" w:cstheme="minorHAnsi"/>
          <w:b/>
          <w:bCs/>
          <w:lang w:eastAsia="tr-TR"/>
        </w:rPr>
        <w:t xml:space="preserve"> taraf olabilme tarihi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(i) </w:t>
      </w:r>
      <w:proofErr w:type="spellStart"/>
      <w:r w:rsidRPr="00A063AE">
        <w:rPr>
          <w:rFonts w:eastAsia="Times New Roman" w:cstheme="minorHAnsi"/>
          <w:lang w:eastAsia="tr-TR"/>
        </w:rPr>
        <w:t>Andlaşmanın</w:t>
      </w:r>
      <w:proofErr w:type="spellEnd"/>
      <w:r w:rsidRPr="00A063AE">
        <w:rPr>
          <w:rFonts w:eastAsia="Times New Roman" w:cstheme="minorHAnsi"/>
          <w:lang w:eastAsia="tr-TR"/>
        </w:rPr>
        <w:t xml:space="preserve"> yürürlüğe girdiği tarihten itibaren üç ay geçmesi ile 20’nci maddede belirtilen otuz devleti,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(ii) Belgelerini WIPO Genel Müdürüne tevdi ettikleri tarihten üç ay geçmesi ile diğer devletleri,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(iii) Onama ya da katılma belgesinin, 20’nci maddeye uygun olarak bu </w:t>
      </w:r>
      <w:proofErr w:type="spellStart"/>
      <w:r w:rsidRPr="00A063AE">
        <w:rPr>
          <w:rFonts w:eastAsia="Times New Roman" w:cstheme="minorHAnsi"/>
          <w:lang w:eastAsia="tr-TR"/>
        </w:rPr>
        <w:t>Andlaşmanın</w:t>
      </w:r>
      <w:proofErr w:type="spellEnd"/>
      <w:r w:rsidRPr="00A063AE">
        <w:rPr>
          <w:rFonts w:eastAsia="Times New Roman" w:cstheme="minorHAnsi"/>
          <w:lang w:eastAsia="tr-TR"/>
        </w:rPr>
        <w:t xml:space="preserve"> yürürlüğe girdiği tarihten sonra verilmesi ya da </w:t>
      </w:r>
      <w:proofErr w:type="spellStart"/>
      <w:r w:rsidRPr="00A063AE">
        <w:rPr>
          <w:rFonts w:eastAsia="Times New Roman" w:cstheme="minorHAnsi"/>
          <w:lang w:eastAsia="tr-TR"/>
        </w:rPr>
        <w:t>Andlaşmanın</w:t>
      </w:r>
      <w:proofErr w:type="spellEnd"/>
      <w:r w:rsidRPr="00A063AE">
        <w:rPr>
          <w:rFonts w:eastAsia="Times New Roman" w:cstheme="minorHAnsi"/>
          <w:lang w:eastAsia="tr-TR"/>
        </w:rPr>
        <w:t xml:space="preserve"> yürürlüğe girdiği tarihten önce tevdi edilmesi halinde bu </w:t>
      </w:r>
      <w:proofErr w:type="spellStart"/>
      <w:r w:rsidRPr="00A063AE">
        <w:rPr>
          <w:rFonts w:eastAsia="Times New Roman" w:cstheme="minorHAnsi"/>
          <w:lang w:eastAsia="tr-TR"/>
        </w:rPr>
        <w:t>Andlaşmanın</w:t>
      </w:r>
      <w:proofErr w:type="spellEnd"/>
      <w:r w:rsidRPr="00A063AE">
        <w:rPr>
          <w:rFonts w:eastAsia="Times New Roman" w:cstheme="minorHAnsi"/>
          <w:lang w:eastAsia="tr-TR"/>
        </w:rPr>
        <w:t xml:space="preserve"> yürürlüğe girdiği tarihten itibaren üç ay sonra Avrupa Topluluğunu,</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(iv)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taraf olmasının kabul edilmesi üzerine katılma belgesinin tevdi edildiği tarihten itibaren üç ay geçmesi ile diğer hükümetler arası kuruluşları bağlar.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22</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Andlaşmaya</w:t>
      </w:r>
      <w:proofErr w:type="spellEnd"/>
      <w:r w:rsidRPr="00A063AE">
        <w:rPr>
          <w:rFonts w:eastAsia="Times New Roman" w:cstheme="minorHAnsi"/>
          <w:b/>
          <w:bCs/>
          <w:lang w:eastAsia="tr-TR"/>
        </w:rPr>
        <w:t xml:space="preserve"> çekince ileri sürülemez</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hiçbir çekince kabul edilmeyecektir.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23</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Andlaşmanın</w:t>
      </w:r>
      <w:proofErr w:type="spellEnd"/>
      <w:r w:rsidRPr="00A063AE">
        <w:rPr>
          <w:rFonts w:eastAsia="Times New Roman" w:cstheme="minorHAnsi"/>
          <w:b/>
          <w:bCs/>
          <w:lang w:eastAsia="tr-TR"/>
        </w:rPr>
        <w:t xml:space="preserve"> feshi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Bu </w:t>
      </w:r>
      <w:proofErr w:type="spellStart"/>
      <w:r w:rsidRPr="00A063AE">
        <w:rPr>
          <w:rFonts w:eastAsia="Times New Roman" w:cstheme="minorHAnsi"/>
          <w:lang w:eastAsia="tr-TR"/>
        </w:rPr>
        <w:t>Andlaşmayı</w:t>
      </w:r>
      <w:proofErr w:type="spellEnd"/>
      <w:r w:rsidRPr="00A063AE">
        <w:rPr>
          <w:rFonts w:eastAsia="Times New Roman" w:cstheme="minorHAnsi"/>
          <w:lang w:eastAsia="tr-TR"/>
        </w:rPr>
        <w:t>, herhangi bir Akit Taraf WIPO Genel Müdürüne yapacağı bir bildirim ile feshedebilir. Fesih, WIPO Genel Müdürünün bildirimi aldığı tarihten bir yıl sonra yürürlüğe girecektir.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24</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Andlaşmanın</w:t>
      </w:r>
      <w:proofErr w:type="spellEnd"/>
      <w:r w:rsidRPr="00A063AE">
        <w:rPr>
          <w:rFonts w:eastAsia="Times New Roman" w:cstheme="minorHAnsi"/>
          <w:b/>
          <w:bCs/>
          <w:lang w:eastAsia="tr-TR"/>
        </w:rPr>
        <w:t xml:space="preserve"> dili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lastRenderedPageBreak/>
        <w:t xml:space="preserve">(1) 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İngiliz, Arap, Çin, Fransız, Rus ve İspanyol dillerinde, bütün dillerdeki metinler aynı derecede geçerli olmak üzere tek, özgün bir nüsha halinde imzalanmıştır.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(2) İlgili bir tarafın isteği üzerine, WIPO Genel Müdürü, bütün ilgili taraflara danıştıktan sonra, (1)’inci paragrafta belirtilen diller dışında herhangi bir dilde resmi bir metin hazırlayacaktır. Bu paragraf çerçevesinde “ilgili taraf” ifadesinden söz konusu resmi dillerden bir veya birkaçına sahip her WIPO üyesi devleti, Avrupa Topluluğunu, bu resmi dillerden birine sahip olduğu takdirde bu </w:t>
      </w:r>
      <w:proofErr w:type="spellStart"/>
      <w:r w:rsidRPr="00A063AE">
        <w:rPr>
          <w:rFonts w:eastAsia="Times New Roman" w:cstheme="minorHAnsi"/>
          <w:lang w:eastAsia="tr-TR"/>
        </w:rPr>
        <w:t>Andlaşmaya</w:t>
      </w:r>
      <w:proofErr w:type="spellEnd"/>
      <w:r w:rsidRPr="00A063AE">
        <w:rPr>
          <w:rFonts w:eastAsia="Times New Roman" w:cstheme="minorHAnsi"/>
          <w:lang w:eastAsia="tr-TR"/>
        </w:rPr>
        <w:t xml:space="preserve"> taraf olabilecek herhangi bir hükümetler arası kuruluş anlaşılır.</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b/>
          <w:bCs/>
          <w:lang w:eastAsia="tr-TR"/>
        </w:rPr>
        <w:t>Madde 25</w:t>
      </w:r>
    </w:p>
    <w:p w:rsidR="00A063AE" w:rsidRPr="00A063AE" w:rsidRDefault="00A063AE" w:rsidP="00A063AE">
      <w:pPr>
        <w:spacing w:before="100" w:beforeAutospacing="1" w:after="100" w:afterAutospacing="1" w:line="240" w:lineRule="auto"/>
        <w:rPr>
          <w:rFonts w:eastAsia="Times New Roman" w:cstheme="minorHAnsi"/>
          <w:lang w:eastAsia="tr-TR"/>
        </w:rPr>
      </w:pPr>
      <w:proofErr w:type="spellStart"/>
      <w:r w:rsidRPr="00A063AE">
        <w:rPr>
          <w:rFonts w:eastAsia="Times New Roman" w:cstheme="minorHAnsi"/>
          <w:b/>
          <w:bCs/>
          <w:lang w:eastAsia="tr-TR"/>
        </w:rPr>
        <w:t>Andlaşmanın</w:t>
      </w:r>
      <w:proofErr w:type="spellEnd"/>
      <w:r w:rsidRPr="00A063AE">
        <w:rPr>
          <w:rFonts w:eastAsia="Times New Roman" w:cstheme="minorHAnsi"/>
          <w:b/>
          <w:bCs/>
          <w:lang w:eastAsia="tr-TR"/>
        </w:rPr>
        <w:t xml:space="preserve"> tevdii</w:t>
      </w:r>
    </w:p>
    <w:p w:rsidR="00A063AE" w:rsidRPr="00A063AE" w:rsidRDefault="00A063AE" w:rsidP="00A063AE">
      <w:pPr>
        <w:spacing w:before="100" w:beforeAutospacing="1" w:after="100" w:afterAutospacing="1" w:line="240" w:lineRule="auto"/>
        <w:rPr>
          <w:rFonts w:eastAsia="Times New Roman" w:cstheme="minorHAnsi"/>
          <w:lang w:eastAsia="tr-TR"/>
        </w:rPr>
      </w:pPr>
      <w:r w:rsidRPr="00A063AE">
        <w:rPr>
          <w:rFonts w:eastAsia="Times New Roman" w:cstheme="minorHAnsi"/>
          <w:lang w:eastAsia="tr-TR"/>
        </w:rPr>
        <w:t xml:space="preserve">Bu </w:t>
      </w:r>
      <w:proofErr w:type="spellStart"/>
      <w:r w:rsidRPr="00A063AE">
        <w:rPr>
          <w:rFonts w:eastAsia="Times New Roman" w:cstheme="minorHAnsi"/>
          <w:lang w:eastAsia="tr-TR"/>
        </w:rPr>
        <w:t>Andlaşma</w:t>
      </w:r>
      <w:proofErr w:type="spellEnd"/>
      <w:r w:rsidRPr="00A063AE">
        <w:rPr>
          <w:rFonts w:eastAsia="Times New Roman" w:cstheme="minorHAnsi"/>
          <w:lang w:eastAsia="tr-TR"/>
        </w:rPr>
        <w:t xml:space="preserve"> WIPO Genel Müdürüne tevdi edilir.</w:t>
      </w:r>
    </w:p>
    <w:p w:rsidR="0089578E" w:rsidRPr="00A063AE" w:rsidRDefault="0089578E">
      <w:pPr>
        <w:rPr>
          <w:rFonts w:cstheme="minorHAnsi"/>
        </w:rPr>
      </w:pPr>
    </w:p>
    <w:sectPr w:rsidR="0089578E" w:rsidRPr="00A06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AE"/>
    <w:rsid w:val="0089578E"/>
    <w:rsid w:val="00A063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6B20"/>
  <w15:chartTrackingRefBased/>
  <w15:docId w15:val="{690A3D25-A448-4D92-B1D4-DD49E01F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06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63A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063AE"/>
    <w:rPr>
      <w:color w:val="0000FF"/>
      <w:u w:val="single"/>
    </w:rPr>
  </w:style>
  <w:style w:type="paragraph" w:styleId="NormalWeb">
    <w:name w:val="Normal (Web)"/>
    <w:basedOn w:val="Normal"/>
    <w:uiPriority w:val="99"/>
    <w:semiHidden/>
    <w:unhideWhenUsed/>
    <w:rsid w:val="00A063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63AE"/>
    <w:rPr>
      <w:b/>
      <w:bCs/>
    </w:rPr>
  </w:style>
  <w:style w:type="paragraph" w:styleId="HTMLncedenBiimlendirilmi">
    <w:name w:val="HTML Preformatted"/>
    <w:basedOn w:val="Normal"/>
    <w:link w:val="HTMLncedenBiimlendirilmiChar"/>
    <w:uiPriority w:val="99"/>
    <w:semiHidden/>
    <w:unhideWhenUsed/>
    <w:rsid w:val="00A0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063AE"/>
    <w:rPr>
      <w:rFonts w:ascii="Courier New" w:eastAsia="Times New Roman" w:hAnsi="Courier New" w:cs="Courier New"/>
      <w:sz w:val="20"/>
      <w:szCs w:val="20"/>
      <w:lang w:eastAsia="tr-TR"/>
    </w:rPr>
  </w:style>
  <w:style w:type="character" w:styleId="Vurgu">
    <w:name w:val="Emphasis"/>
    <w:basedOn w:val="VarsaylanParagrafYazTipi"/>
    <w:uiPriority w:val="20"/>
    <w:qFormat/>
    <w:rsid w:val="00A06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19018">
      <w:bodyDiv w:val="1"/>
      <w:marLeft w:val="0"/>
      <w:marRight w:val="0"/>
      <w:marTop w:val="0"/>
      <w:marBottom w:val="0"/>
      <w:divBdr>
        <w:top w:val="none" w:sz="0" w:space="0" w:color="auto"/>
        <w:left w:val="none" w:sz="0" w:space="0" w:color="auto"/>
        <w:bottom w:val="none" w:sz="0" w:space="0" w:color="auto"/>
        <w:right w:val="none" w:sz="0" w:space="0" w:color="auto"/>
      </w:divBdr>
      <w:divsChild>
        <w:div w:id="1283222804">
          <w:marLeft w:val="0"/>
          <w:marRight w:val="0"/>
          <w:marTop w:val="0"/>
          <w:marBottom w:val="0"/>
          <w:divBdr>
            <w:top w:val="none" w:sz="0" w:space="0" w:color="auto"/>
            <w:left w:val="none" w:sz="0" w:space="0" w:color="auto"/>
            <w:bottom w:val="none" w:sz="0" w:space="0" w:color="auto"/>
            <w:right w:val="none" w:sz="0" w:space="0" w:color="auto"/>
          </w:divBdr>
        </w:div>
        <w:div w:id="256325322">
          <w:marLeft w:val="0"/>
          <w:marRight w:val="0"/>
          <w:marTop w:val="0"/>
          <w:marBottom w:val="0"/>
          <w:divBdr>
            <w:top w:val="none" w:sz="0" w:space="0" w:color="auto"/>
            <w:left w:val="none" w:sz="0" w:space="0" w:color="auto"/>
            <w:bottom w:val="none" w:sz="0" w:space="0" w:color="auto"/>
            <w:right w:val="none" w:sz="0" w:space="0" w:color="auto"/>
          </w:divBdr>
          <w:divsChild>
            <w:div w:id="538973543">
              <w:marLeft w:val="0"/>
              <w:marRight w:val="0"/>
              <w:marTop w:val="0"/>
              <w:marBottom w:val="0"/>
              <w:divBdr>
                <w:top w:val="none" w:sz="0" w:space="0" w:color="auto"/>
                <w:left w:val="none" w:sz="0" w:space="0" w:color="auto"/>
                <w:bottom w:val="none" w:sz="0" w:space="0" w:color="auto"/>
                <w:right w:val="none" w:sz="0" w:space="0" w:color="auto"/>
              </w:divBdr>
              <w:divsChild>
                <w:div w:id="12975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572">
          <w:marLeft w:val="0"/>
          <w:marRight w:val="0"/>
          <w:marTop w:val="0"/>
          <w:marBottom w:val="0"/>
          <w:divBdr>
            <w:top w:val="none" w:sz="0" w:space="0" w:color="auto"/>
            <w:left w:val="none" w:sz="0" w:space="0" w:color="auto"/>
            <w:bottom w:val="none" w:sz="0" w:space="0" w:color="auto"/>
            <w:right w:val="none" w:sz="0" w:space="0" w:color="auto"/>
          </w:divBdr>
          <w:divsChild>
            <w:div w:id="1737120483">
              <w:marLeft w:val="0"/>
              <w:marRight w:val="0"/>
              <w:marTop w:val="0"/>
              <w:marBottom w:val="0"/>
              <w:divBdr>
                <w:top w:val="none" w:sz="0" w:space="0" w:color="auto"/>
                <w:left w:val="none" w:sz="0" w:space="0" w:color="auto"/>
                <w:bottom w:val="none" w:sz="0" w:space="0" w:color="auto"/>
                <w:right w:val="none" w:sz="0" w:space="0" w:color="auto"/>
              </w:divBdr>
              <w:divsChild>
                <w:div w:id="514534789">
                  <w:marLeft w:val="0"/>
                  <w:marRight w:val="0"/>
                  <w:marTop w:val="0"/>
                  <w:marBottom w:val="0"/>
                  <w:divBdr>
                    <w:top w:val="none" w:sz="0" w:space="0" w:color="auto"/>
                    <w:left w:val="none" w:sz="0" w:space="0" w:color="auto"/>
                    <w:bottom w:val="none" w:sz="0" w:space="0" w:color="auto"/>
                    <w:right w:val="none" w:sz="0" w:space="0" w:color="auto"/>
                  </w:divBdr>
                  <w:divsChild>
                    <w:div w:id="535587221">
                      <w:marLeft w:val="0"/>
                      <w:marRight w:val="0"/>
                      <w:marTop w:val="0"/>
                      <w:marBottom w:val="0"/>
                      <w:divBdr>
                        <w:top w:val="none" w:sz="0" w:space="0" w:color="auto"/>
                        <w:left w:val="none" w:sz="0" w:space="0" w:color="auto"/>
                        <w:bottom w:val="none" w:sz="0" w:space="0" w:color="auto"/>
                        <w:right w:val="none" w:sz="0" w:space="0" w:color="auto"/>
                      </w:divBdr>
                      <w:divsChild>
                        <w:div w:id="1429496092">
                          <w:marLeft w:val="0"/>
                          <w:marRight w:val="0"/>
                          <w:marTop w:val="0"/>
                          <w:marBottom w:val="0"/>
                          <w:divBdr>
                            <w:top w:val="none" w:sz="0" w:space="0" w:color="auto"/>
                            <w:left w:val="none" w:sz="0" w:space="0" w:color="auto"/>
                            <w:bottom w:val="none" w:sz="0" w:space="0" w:color="auto"/>
                            <w:right w:val="none" w:sz="0" w:space="0" w:color="auto"/>
                          </w:divBdr>
                          <w:divsChild>
                            <w:div w:id="32196335">
                              <w:marLeft w:val="0"/>
                              <w:marRight w:val="0"/>
                              <w:marTop w:val="0"/>
                              <w:marBottom w:val="0"/>
                              <w:divBdr>
                                <w:top w:val="none" w:sz="0" w:space="0" w:color="auto"/>
                                <w:left w:val="none" w:sz="0" w:space="0" w:color="auto"/>
                                <w:bottom w:val="none" w:sz="0" w:space="0" w:color="auto"/>
                                <w:right w:val="none" w:sz="0" w:space="0" w:color="auto"/>
                              </w:divBdr>
                              <w:divsChild>
                                <w:div w:id="1550070324">
                                  <w:marLeft w:val="0"/>
                                  <w:marRight w:val="0"/>
                                  <w:marTop w:val="0"/>
                                  <w:marBottom w:val="0"/>
                                  <w:divBdr>
                                    <w:top w:val="none" w:sz="0" w:space="0" w:color="auto"/>
                                    <w:left w:val="none" w:sz="0" w:space="0" w:color="auto"/>
                                    <w:bottom w:val="none" w:sz="0" w:space="0" w:color="auto"/>
                                    <w:right w:val="none" w:sz="0" w:space="0" w:color="auto"/>
                                  </w:divBdr>
                                  <w:divsChild>
                                    <w:div w:id="19754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2020-07-26T18:09:00Z</dcterms:created>
  <dcterms:modified xsi:type="dcterms:W3CDTF">2020-07-26T18:12:00Z</dcterms:modified>
</cp:coreProperties>
</file>